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99C2">
      <w:pPr>
        <w:pStyle w:val="12"/>
        <w:shd w:val="clear" w:color="auto" w:fill="auto"/>
        <w:tabs>
          <w:tab w:val="left" w:leader="underscore" w:pos="4802"/>
        </w:tabs>
        <w:spacing w:line="240" w:lineRule="auto"/>
        <w:jc w:val="center"/>
        <w:rPr>
          <w:rFonts w:hint="eastAsia" w:ascii="宋体" w:hAnsi="宋体" w:eastAsia="宋体" w:cs="宋体"/>
          <w:sz w:val="44"/>
          <w:szCs w:val="44"/>
        </w:rPr>
      </w:pPr>
      <w:r>
        <w:rPr>
          <w:rFonts w:hint="eastAsia" w:ascii="宋体" w:hAnsi="宋体" w:eastAsia="宋体" w:cs="宋体"/>
          <w:sz w:val="44"/>
          <w:szCs w:val="44"/>
        </w:rPr>
        <w:t>济南卫星磁试验转接工装采购项目</w:t>
      </w:r>
    </w:p>
    <w:p w14:paraId="56BB03E0">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6F2676E9">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3F303263">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4871A0D1">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3530CE7F">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0557977F">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63093560">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509F7C05">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5EA9CDC1">
      <w:pPr>
        <w:pStyle w:val="12"/>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465A2FF8">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66A6D2CA">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0DE34116">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789053E0">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68919456">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526AF285">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082013B">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BCB242D">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3BD5E76C">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0EEA862E">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2084C96B">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28B8BB9A">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1848BA1B">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26</w:t>
      </w:r>
      <w:r>
        <w:rPr>
          <w:rFonts w:hint="eastAsia" w:ascii="宋体" w:hAnsi="宋体" w:eastAsia="宋体" w:cs="宋体"/>
          <w:sz w:val="36"/>
          <w:szCs w:val="36"/>
          <w:highlight w:val="none"/>
          <w:lang w:val="zh-TW" w:eastAsia="zh-TW"/>
        </w:rPr>
        <w:t>日</w:t>
      </w:r>
    </w:p>
    <w:p w14:paraId="78104B6F">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lang w:val="zh-TW"/>
        </w:rPr>
      </w:pPr>
      <w:r>
        <w:rPr>
          <w:rFonts w:hint="eastAsia" w:ascii="微软雅黑" w:hAnsi="微软雅黑" w:eastAsia="微软雅黑" w:cs="微软雅黑"/>
          <w:bCs/>
          <w:color w:val="000000"/>
          <w:spacing w:val="-10"/>
          <w:sz w:val="36"/>
          <w:szCs w:val="36"/>
        </w:rPr>
        <w:t>竞争性谈判</w:t>
      </w:r>
      <w:r>
        <w:rPr>
          <w:rFonts w:hint="eastAsia" w:ascii="微软雅黑" w:hAnsi="微软雅黑" w:eastAsia="微软雅黑" w:cs="微软雅黑"/>
          <w:bCs/>
          <w:color w:val="000000"/>
          <w:spacing w:val="-10"/>
          <w:sz w:val="36"/>
          <w:szCs w:val="36"/>
          <w:lang w:val="zh-TW"/>
        </w:rPr>
        <w:t>邀请函</w:t>
      </w:r>
    </w:p>
    <w:p w14:paraId="5A13F53B">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济南卫星磁试验转接工装采购项目 </w:t>
      </w:r>
      <w:r>
        <w:rPr>
          <w:rFonts w:hint="eastAsia" w:ascii="仿宋_GB2312" w:hAnsi="仿宋_GB2312" w:eastAsia="仿宋_GB2312" w:cs="仿宋_GB2312"/>
          <w:sz w:val="32"/>
          <w:szCs w:val="32"/>
        </w:rPr>
        <w:t>采用竞争性谈判方式，现邀请有意向公司进行报价和谈判。</w:t>
      </w:r>
    </w:p>
    <w:p w14:paraId="027C9051">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项目名称：济南卫星磁试验转接工装采购项目</w:t>
      </w:r>
    </w:p>
    <w:p w14:paraId="367A13AC">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2、响应文件：纸质版文档（一正本一副本）+电子版扫描文档一份</w:t>
      </w:r>
    </w:p>
    <w:p w14:paraId="6EEEB054">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3、公告、报名截止时间：20</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年6月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日17</w:t>
      </w:r>
      <w:r>
        <w:rPr>
          <w:rFonts w:hint="eastAsia" w:ascii="仿宋_GB2312" w:hAnsi="仿宋_GB2312" w:eastAsia="仿宋_GB2312" w:cs="仿宋_GB2312"/>
          <w:sz w:val="32"/>
          <w:szCs w:val="32"/>
        </w:rPr>
        <w:t>时00分</w:t>
      </w:r>
    </w:p>
    <w:p w14:paraId="5A8ECA1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报名邮箱：61924890@qq.com</w:t>
      </w:r>
    </w:p>
    <w:p w14:paraId="157CBE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4、递交响应性文件截止时间、谈判时间：2</w:t>
      </w:r>
      <w:r>
        <w:rPr>
          <w:rFonts w:hint="eastAsia"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0分</w:t>
      </w:r>
    </w:p>
    <w:p w14:paraId="64C44394">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递交地点：山东省济南市历城区算谷产业园济南卫星总装基地6A楼616室</w:t>
      </w:r>
    </w:p>
    <w:p w14:paraId="5120F5D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电子版响应文件发送邮箱：61924890@qq.com</w:t>
      </w:r>
    </w:p>
    <w:p w14:paraId="0A85791D">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2CB93BC8">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49354CFE">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商务联系人：孙女士      联系电话：15665717190</w:t>
      </w:r>
    </w:p>
    <w:p w14:paraId="6058C1C8">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技术联系人：胡</w:t>
      </w:r>
      <w:r>
        <w:rPr>
          <w:rFonts w:hint="eastAsia" w:ascii="仿宋_GB2312" w:hAnsi="仿宋_GB2312" w:eastAsia="仿宋_GB2312" w:cs="仿宋_GB2312"/>
          <w:sz w:val="32"/>
          <w:szCs w:val="32"/>
          <w:highlight w:val="none"/>
        </w:rPr>
        <w:t>先生      联系电话：18615693624</w:t>
      </w:r>
    </w:p>
    <w:p w14:paraId="5D862C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32590408"/>
    <w:p w14:paraId="2179EADB">
      <w:pPr>
        <w:rPr>
          <w:rFonts w:eastAsia="仿宋_GB2312"/>
          <w:color w:val="000000"/>
          <w:sz w:val="30"/>
        </w:rPr>
      </w:pPr>
      <w:r>
        <w:rPr>
          <w:rFonts w:hint="eastAsia" w:eastAsia="仿宋_GB2312"/>
          <w:color w:val="000000"/>
          <w:sz w:val="30"/>
        </w:rPr>
        <w:br w:type="page"/>
      </w:r>
    </w:p>
    <w:p w14:paraId="28E9CAC6">
      <w:pPr>
        <w:spacing w:line="580" w:lineRule="exact"/>
        <w:rPr>
          <w:rFonts w:hint="eastAsia" w:ascii="宋体" w:hAnsi="宋体" w:cs="宋体"/>
          <w:color w:val="000000"/>
          <w:sz w:val="32"/>
          <w:szCs w:val="32"/>
        </w:rPr>
      </w:pPr>
      <w:r>
        <w:rPr>
          <w:rFonts w:hint="eastAsia" w:eastAsia="仿宋_GB2312"/>
          <w:color w:val="000000"/>
          <w:sz w:val="30"/>
        </w:rPr>
        <w:t>附件1：</w:t>
      </w:r>
    </w:p>
    <w:p w14:paraId="6A6AE448">
      <w:pPr>
        <w:spacing w:line="580" w:lineRule="exact"/>
        <w:jc w:val="center"/>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报名表</w:t>
      </w:r>
    </w:p>
    <w:p w14:paraId="163B035E">
      <w:pPr>
        <w:spacing w:line="580" w:lineRule="exact"/>
        <w:jc w:val="center"/>
        <w:rPr>
          <w:rFonts w:hint="eastAsia" w:ascii="微软雅黑" w:hAnsi="微软雅黑" w:eastAsia="微软雅黑" w:cs="微软雅黑"/>
          <w:color w:val="000000"/>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566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CCCF46D">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0916E26B">
            <w:pPr>
              <w:spacing w:line="580" w:lineRule="exact"/>
              <w:jc w:val="center"/>
              <w:rPr>
                <w:rFonts w:hint="eastAsia" w:ascii="宋体" w:hAnsi="宋体" w:cs="宋体"/>
                <w:color w:val="000000"/>
                <w:sz w:val="32"/>
                <w:szCs w:val="32"/>
              </w:rPr>
            </w:pPr>
          </w:p>
        </w:tc>
      </w:tr>
      <w:tr w14:paraId="4DB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D9225CC">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575D81AA">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济南卫星磁试验转接工装采购项目</w:t>
            </w:r>
          </w:p>
        </w:tc>
      </w:tr>
      <w:tr w14:paraId="0257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2D6C48B">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7EFD77A">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 xml:space="preserve"> 1293260626001 </w:t>
            </w:r>
          </w:p>
        </w:tc>
      </w:tr>
      <w:tr w14:paraId="5B1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D9D6D7E">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5B94DB19">
            <w:pPr>
              <w:spacing w:line="580" w:lineRule="exact"/>
              <w:jc w:val="center"/>
              <w:rPr>
                <w:rFonts w:hint="eastAsia" w:ascii="宋体" w:hAnsi="宋体" w:cs="宋体"/>
                <w:color w:val="000000"/>
                <w:sz w:val="32"/>
                <w:szCs w:val="32"/>
              </w:rPr>
            </w:pPr>
          </w:p>
        </w:tc>
        <w:tc>
          <w:tcPr>
            <w:tcW w:w="2131" w:type="dxa"/>
            <w:vAlign w:val="center"/>
          </w:tcPr>
          <w:p w14:paraId="3C991C9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60B8F2FD">
            <w:pPr>
              <w:spacing w:line="580" w:lineRule="exact"/>
              <w:jc w:val="center"/>
              <w:rPr>
                <w:rFonts w:hint="eastAsia" w:ascii="宋体" w:hAnsi="宋体" w:cs="宋体"/>
                <w:color w:val="000000"/>
                <w:sz w:val="32"/>
                <w:szCs w:val="32"/>
              </w:rPr>
            </w:pPr>
          </w:p>
        </w:tc>
      </w:tr>
      <w:tr w14:paraId="5880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3DD5C86">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D17CFF5">
            <w:pPr>
              <w:spacing w:line="580" w:lineRule="exact"/>
              <w:jc w:val="center"/>
              <w:rPr>
                <w:rFonts w:hint="eastAsia" w:ascii="宋体" w:hAnsi="宋体" w:cs="宋体"/>
                <w:color w:val="000000"/>
                <w:sz w:val="32"/>
                <w:szCs w:val="32"/>
              </w:rPr>
            </w:pPr>
          </w:p>
        </w:tc>
      </w:tr>
    </w:tbl>
    <w:p w14:paraId="331D8306">
      <w:pPr>
        <w:spacing w:line="580" w:lineRule="exact"/>
        <w:ind w:left="1000"/>
        <w:jc w:val="center"/>
        <w:rPr>
          <w:rFonts w:hint="eastAsia" w:ascii="宋体" w:hAnsi="宋体" w:cs="宋体"/>
          <w:color w:val="000000"/>
          <w:sz w:val="32"/>
          <w:szCs w:val="32"/>
        </w:rPr>
      </w:pPr>
    </w:p>
    <w:p w14:paraId="08570EDB">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1410BF0E">
      <w:pPr>
        <w:widowControl/>
        <w:ind w:firstLine="2560" w:firstLineChars="800"/>
        <w:rPr>
          <w:rFonts w:hint="eastAsia" w:ascii="宋体" w:hAnsi="宋体" w:cs="宋体"/>
          <w:color w:val="000000"/>
          <w:sz w:val="32"/>
          <w:szCs w:val="32"/>
        </w:rPr>
      </w:pPr>
    </w:p>
    <w:p w14:paraId="56BC4F2B">
      <w:pPr>
        <w:spacing w:line="580" w:lineRule="exact"/>
        <w:ind w:firstLine="3520" w:firstLineChars="1100"/>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54E4DEBF">
      <w:pPr>
        <w:rPr>
          <w:rFonts w:eastAsia="仿宋_GB2312"/>
          <w:color w:val="000000"/>
          <w:sz w:val="30"/>
        </w:rPr>
      </w:pPr>
      <w:r>
        <w:rPr>
          <w:rFonts w:hint="eastAsia" w:eastAsia="仿宋_GB2312"/>
          <w:color w:val="000000"/>
          <w:sz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1"/>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济南卫星磁试验转接工装采购项目</w:t>
      </w:r>
    </w:p>
    <w:p w14:paraId="13A0A058">
      <w:pPr>
        <w:pStyle w:val="11"/>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26</w:t>
      </w:r>
      <w:r>
        <w:rPr>
          <w:rFonts w:hint="eastAsia" w:ascii="宋体" w:hAnsi="宋体" w:eastAsia="宋体" w:cs="宋体"/>
          <w:sz w:val="36"/>
          <w:szCs w:val="36"/>
          <w:highlight w:val="none"/>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5"/>
        <w:rPr>
          <w:rFonts w:hint="eastAsia"/>
        </w:rPr>
      </w:pPr>
    </w:p>
    <w:p w14:paraId="34FC48C5">
      <w:pPr>
        <w:spacing w:line="360" w:lineRule="auto"/>
        <w:ind w:firstLine="435"/>
        <w:jc w:val="left"/>
        <w:rPr>
          <w:rFonts w:hint="eastAsia" w:ascii="宋体" w:hAnsi="宋体" w:cs="宋体"/>
          <w:sz w:val="30"/>
          <w:szCs w:val="30"/>
        </w:rPr>
      </w:pPr>
    </w:p>
    <w:p w14:paraId="350D6F9F">
      <w:pPr>
        <w:pStyle w:val="5"/>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lang w:val="zh-TW" w:eastAsia="zh-TW"/>
        </w:rPr>
      </w:pPr>
      <w:r>
        <w:rPr>
          <w:rFonts w:hint="eastAsia" w:ascii="微软雅黑" w:hAnsi="微软雅黑" w:eastAsia="微软雅黑" w:cs="微软雅黑"/>
          <w:bCs/>
          <w:color w:val="000000"/>
          <w:spacing w:val="-10"/>
          <w:sz w:val="36"/>
          <w:szCs w:val="36"/>
          <w:lang w:val="zh-TW"/>
        </w:rPr>
        <w:t>第</w:t>
      </w:r>
      <w:r>
        <w:rPr>
          <w:rFonts w:hint="eastAsia" w:ascii="微软雅黑" w:hAnsi="微软雅黑" w:eastAsia="微软雅黑" w:cs="微软雅黑"/>
          <w:bCs/>
          <w:color w:val="000000"/>
          <w:spacing w:val="-10"/>
          <w:sz w:val="36"/>
          <w:szCs w:val="36"/>
        </w:rPr>
        <w:t>一</w:t>
      </w:r>
      <w:r>
        <w:rPr>
          <w:rFonts w:hint="eastAsia" w:ascii="微软雅黑" w:hAnsi="微软雅黑" w:eastAsia="微软雅黑" w:cs="微软雅黑"/>
          <w:bCs/>
          <w:color w:val="000000"/>
          <w:spacing w:val="-10"/>
          <w:sz w:val="36"/>
          <w:szCs w:val="36"/>
          <w:lang w:val="zh-TW"/>
        </w:rPr>
        <w:t xml:space="preserve">章 </w:t>
      </w:r>
      <w:r>
        <w:rPr>
          <w:rFonts w:hint="eastAsia" w:ascii="微软雅黑" w:hAnsi="微软雅黑" w:eastAsia="微软雅黑" w:cs="微软雅黑"/>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5"/>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highlight w:val="none"/>
        </w:rPr>
      </w:pPr>
      <w:r>
        <w:rPr>
          <w:rFonts w:hint="eastAsia" w:ascii="微软雅黑" w:hAnsi="微软雅黑" w:eastAsia="微软雅黑" w:cs="微软雅黑"/>
          <w:bCs/>
          <w:color w:val="000000"/>
          <w:spacing w:val="-10"/>
          <w:sz w:val="36"/>
          <w:szCs w:val="36"/>
          <w:highlight w:val="none"/>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济南卫星磁试验转接工装采购项目。</w:t>
      </w:r>
    </w:p>
    <w:p w14:paraId="034FAA5A">
      <w:pPr>
        <w:numPr>
          <w:ilvl w:val="0"/>
          <w:numId w:val="2"/>
        </w:num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采购要求</w:t>
      </w:r>
    </w:p>
    <w:p w14:paraId="25B14A2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磁测试工装技术要求：</w:t>
      </w:r>
    </w:p>
    <w:p w14:paraId="43E8AF5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①工装</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采用无磁材料设计，满足工装自身剩磁对卫星磁测试影响优于1nT。</w:t>
      </w:r>
    </w:p>
    <w:p w14:paraId="3A913E9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②承重力满足重量为150kg±5kg的卫星产品。</w:t>
      </w:r>
    </w:p>
    <w:p w14:paraId="294278E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③磁测试工装上表面链接卫星产品，下表面链接磁测设备无磁转台，保证在60°/min的转速下产品不会倾覆。</w:t>
      </w:r>
    </w:p>
    <w:p w14:paraId="6DF56BF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④整体工装高度在30cm~80cm范围内，工装与无磁转台的孔位布局要契合，且与无磁转台接触的工装面的厚度不超过25mm。</w:t>
      </w:r>
    </w:p>
    <w:p w14:paraId="5A36848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⑤保障在卫星正式磁测试试验前两周工装完成出厂到货。</w:t>
      </w:r>
    </w:p>
    <w:p w14:paraId="1343878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⑥示意图如下</w:t>
      </w:r>
    </w:p>
    <w:p w14:paraId="133A8471">
      <w:pPr>
        <w:adjustRightInd w:val="0"/>
        <w:snapToGrid w:val="0"/>
        <w:spacing w:line="360" w:lineRule="auto"/>
        <w:jc w:val="center"/>
        <w:rPr>
          <w:rFonts w:hint="eastAsia" w:ascii="楷体_GB2312" w:hAnsi="楷体_GB2312" w:eastAsia="楷体_GB2312" w:cs="楷体_GB2312"/>
          <w:b/>
          <w:sz w:val="32"/>
          <w:szCs w:val="32"/>
          <w:highlight w:val="yellow"/>
        </w:rPr>
      </w:pPr>
      <w:r>
        <w:rPr>
          <w:rFonts w:hint="eastAsia" w:ascii="楷体_GB2312" w:hAnsi="楷体_GB2312" w:eastAsia="楷体_GB2312" w:cs="楷体_GB2312"/>
          <w:b/>
          <w:sz w:val="32"/>
          <w:szCs w:val="32"/>
          <w:highlight w:val="yellow"/>
        </w:rPr>
        <w:drawing>
          <wp:inline distT="0" distB="0" distL="0" distR="0">
            <wp:extent cx="3127375" cy="2713990"/>
            <wp:effectExtent l="0" t="0" r="15875" b="10160"/>
            <wp:docPr id="650347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47034" name="图片 1"/>
                    <pic:cNvPicPr>
                      <a:picLocks noChangeAspect="1" noChangeArrowheads="1"/>
                    </pic:cNvPicPr>
                  </pic:nvPicPr>
                  <pic:blipFill>
                    <a:blip r:embed="rId6">
                      <a:extLst>
                        <a:ext uri="{28A0092B-C50C-407E-A947-70E740481C1C}">
                          <a14:useLocalDpi xmlns:a14="http://schemas.microsoft.com/office/drawing/2010/main" val="0"/>
                        </a:ext>
                      </a:extLst>
                    </a:blip>
                    <a:srcRect l="7209" t="11925" r="10364"/>
                    <a:stretch>
                      <a:fillRect/>
                    </a:stretch>
                  </pic:blipFill>
                  <pic:spPr>
                    <a:xfrm>
                      <a:off x="0" y="0"/>
                      <a:ext cx="3127375" cy="2713990"/>
                    </a:xfrm>
                    <a:prstGeom prst="rect">
                      <a:avLst/>
                    </a:prstGeom>
                    <a:noFill/>
                    <a:ln>
                      <a:noFill/>
                    </a:ln>
                  </pic:spPr>
                </pic:pic>
              </a:graphicData>
            </a:graphic>
          </wp:inline>
        </w:drawing>
      </w:r>
    </w:p>
    <w:p w14:paraId="0A5230FE">
      <w:pPr>
        <w:adjustRightInd w:val="0"/>
        <w:snapToGrid w:val="0"/>
        <w:spacing w:line="360" w:lineRule="auto"/>
        <w:ind w:firstLine="640" w:firstLineChars="200"/>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2.供方根据技术要求出具设计图纸</w:t>
      </w:r>
    </w:p>
    <w:p w14:paraId="2D6FE663">
      <w:pPr>
        <w:adjustRightInd w:val="0"/>
        <w:snapToGrid w:val="0"/>
        <w:spacing w:line="360" w:lineRule="auto"/>
        <w:ind w:firstLine="640" w:firstLineChars="200"/>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3.交付时间：预计2026年7月10日前，具体时间可根据需求方工期再行协商。</w:t>
      </w:r>
    </w:p>
    <w:p w14:paraId="6C1A6014">
      <w:pPr>
        <w:adjustRightInd w:val="0"/>
        <w:snapToGrid w:val="0"/>
        <w:spacing w:line="360" w:lineRule="auto"/>
        <w:ind w:firstLine="640" w:firstLineChars="200"/>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4.</w:t>
      </w:r>
      <w:r>
        <w:rPr>
          <w:rFonts w:hint="eastAsia" w:ascii="仿宋_GB2312" w:hAnsi="仿宋_GB2312" w:eastAsia="仿宋_GB2312" w:cs="仿宋_GB2312"/>
          <w:color w:val="222222"/>
          <w:sz w:val="32"/>
          <w:szCs w:val="32"/>
          <w:shd w:val="clear" w:color="auto" w:fill="FFFFFF"/>
        </w:rPr>
        <w:t>质保期：</w:t>
      </w:r>
      <w:r>
        <w:rPr>
          <w:rFonts w:hint="eastAsia" w:ascii="仿宋_GB2312" w:hAnsi="仿宋_GB2312" w:eastAsia="仿宋_GB2312" w:cs="仿宋_GB2312"/>
          <w:color w:val="222222"/>
          <w:sz w:val="32"/>
          <w:szCs w:val="32"/>
          <w:shd w:val="clear" w:color="auto" w:fill="FFFFFF"/>
          <w:lang w:val="en-US" w:eastAsia="zh-CN"/>
        </w:rPr>
        <w:t>验收合格之日起一年。</w:t>
      </w:r>
    </w:p>
    <w:p w14:paraId="3F37B04A">
      <w:pPr>
        <w:numPr>
          <w:ilvl w:val="0"/>
          <w:numId w:val="3"/>
        </w:num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付款方式：</w:t>
      </w:r>
    </w:p>
    <w:p w14:paraId="00F98C84">
      <w:pPr>
        <w:adjustRightInd w:val="0"/>
        <w:snapToGrid w:val="0"/>
        <w:spacing w:line="360" w:lineRule="auto"/>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本项目产品交付，通过验收并签署验收合格单后，供应方提供全额增值税专用发票（税率13%）一个月内，采购人支付全部金额的95%，其余5%作为质保金，质保期满且无质量问题，一个月内采购人无息支付剩余款项。</w:t>
      </w:r>
    </w:p>
    <w:p w14:paraId="0B1DDD3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2E9D9A4A">
      <w:pPr>
        <w:pStyle w:val="14"/>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5"/>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项目名称：济南卫星磁试验转接工装采购项目</w:t>
      </w:r>
    </w:p>
    <w:p w14:paraId="425C03AB">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2026年6月</w:t>
      </w:r>
    </w:p>
    <w:p w14:paraId="247004ED">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6"/>
          <w:szCs w:val="36"/>
        </w:rPr>
      </w:pPr>
      <w:bookmarkStart w:id="0" w:name="_Toc53993180"/>
      <w:bookmarkStart w:id="1" w:name="_Toc45835884"/>
      <w:bookmarkStart w:id="2" w:name="_Toc46325217"/>
      <w:r>
        <w:rPr>
          <w:rFonts w:hint="eastAsia" w:ascii="微软雅黑" w:hAnsi="微软雅黑" w:eastAsia="微软雅黑" w:cs="微软雅黑"/>
          <w:bCs/>
          <w:sz w:val="36"/>
          <w:szCs w:val="36"/>
        </w:rPr>
        <w:t>目  录</w:t>
      </w:r>
      <w:bookmarkEnd w:id="0"/>
    </w:p>
    <w:p w14:paraId="0BABC772">
      <w:pPr>
        <w:snapToGrid w:val="0"/>
        <w:spacing w:before="312" w:beforeLines="100" w:line="360" w:lineRule="auto"/>
        <w:ind w:firstLine="220" w:firstLineChars="200"/>
        <w:jc w:val="center"/>
        <w:rPr>
          <w:rFonts w:hint="eastAsia" w:ascii="微软雅黑" w:hAnsi="微软雅黑" w:eastAsia="微软雅黑" w:cs="微软雅黑"/>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3" w:name="_Toc53993181"/>
      <w:r>
        <w:rPr>
          <w:rFonts w:hint="eastAsia" w:ascii="黑体" w:hAnsi="黑体" w:eastAsia="黑体" w:cs="黑体"/>
          <w:bCs/>
          <w:sz w:val="28"/>
          <w:szCs w:val="28"/>
        </w:rPr>
        <w:t>一、谈判响应声明</w:t>
      </w:r>
      <w:bookmarkEnd w:id="1"/>
      <w:bookmarkEnd w:id="2"/>
      <w:bookmarkEnd w:id="3"/>
    </w:p>
    <w:p w14:paraId="31444D60">
      <w:pPr>
        <w:snapToGrid w:val="0"/>
        <w:spacing w:line="360" w:lineRule="auto"/>
        <w:ind w:firstLine="560" w:firstLineChars="200"/>
        <w:rPr>
          <w:rStyle w:val="15"/>
          <w:rFonts w:hint="eastAsia" w:ascii="宋体" w:hAnsi="宋体" w:cs="宋体"/>
          <w:b w:val="0"/>
          <w:sz w:val="28"/>
          <w:szCs w:val="28"/>
        </w:rPr>
      </w:pPr>
      <w:bookmarkStart w:id="4" w:name="_Toc45835886"/>
      <w:bookmarkStart w:id="5" w:name="_Toc53993183"/>
      <w:bookmarkStart w:id="6" w:name="_Toc46325219"/>
      <w:r>
        <w:rPr>
          <w:rStyle w:val="15"/>
          <w:rFonts w:hint="eastAsia" w:ascii="宋体" w:hAnsi="宋体" w:cs="宋体"/>
          <w:b w:val="0"/>
          <w:sz w:val="28"/>
          <w:szCs w:val="28"/>
        </w:rPr>
        <w:t>附件：</w:t>
      </w:r>
      <w:bookmarkEnd w:id="4"/>
      <w:bookmarkEnd w:id="5"/>
      <w:bookmarkEnd w:id="6"/>
      <w:r>
        <w:rPr>
          <w:rStyle w:val="15"/>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7" w:name="_Toc45835887"/>
      <w:bookmarkStart w:id="8" w:name="_Toc53993184"/>
      <w:bookmarkStart w:id="9" w:name="_Toc46325220"/>
      <w:r>
        <w:rPr>
          <w:rFonts w:hint="eastAsia" w:ascii="黑体" w:hAnsi="黑体" w:eastAsia="黑体" w:cs="黑体"/>
          <w:bCs/>
          <w:sz w:val="28"/>
          <w:szCs w:val="28"/>
        </w:rPr>
        <w:t>二、供应方的资格证明材料</w:t>
      </w:r>
      <w:bookmarkEnd w:id="7"/>
      <w:bookmarkEnd w:id="8"/>
      <w:bookmarkEnd w:id="9"/>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三、产品技术指标</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5"/>
          <w:rFonts w:hint="eastAsia" w:ascii="宋体" w:hAnsi="宋体" w:cs="宋体"/>
          <w:b w:val="0"/>
          <w:sz w:val="28"/>
          <w:szCs w:val="28"/>
        </w:rPr>
      </w:pPr>
      <w:bookmarkStart w:id="10" w:name="_Toc46325225"/>
      <w:bookmarkStart w:id="11" w:name="_Toc53993189"/>
      <w:bookmarkStart w:id="12" w:name="_Toc45835892"/>
      <w:r>
        <w:rPr>
          <w:rStyle w:val="15"/>
          <w:rFonts w:hint="eastAsia" w:ascii="宋体" w:hAnsi="宋体" w:cs="宋体"/>
          <w:b w:val="0"/>
          <w:sz w:val="28"/>
          <w:szCs w:val="28"/>
        </w:rPr>
        <w:t>1.报价一览表</w:t>
      </w:r>
      <w:bookmarkEnd w:id="10"/>
      <w:bookmarkEnd w:id="11"/>
      <w:bookmarkEnd w:id="12"/>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3" w:name="_Toc45835893"/>
      <w:bookmarkStart w:id="14" w:name="_Toc53993190"/>
      <w:bookmarkStart w:id="15" w:name="_Toc46325226"/>
      <w:r>
        <w:rPr>
          <w:rFonts w:hint="eastAsia" w:ascii="黑体" w:hAnsi="黑体" w:eastAsia="黑体" w:cs="黑体"/>
          <w:bCs/>
          <w:sz w:val="28"/>
          <w:szCs w:val="28"/>
        </w:rPr>
        <w:t>五、供应方认为需提供的其它资料</w:t>
      </w:r>
      <w:bookmarkEnd w:id="13"/>
      <w:bookmarkEnd w:id="14"/>
      <w:bookmarkEnd w:id="15"/>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6"/>
        <w:rPr>
          <w:rFonts w:hint="eastAsia" w:ascii="仿宋" w:hAnsi="仿宋" w:cs="仿宋"/>
          <w:b/>
          <w:sz w:val="32"/>
          <w:szCs w:val="32"/>
        </w:rPr>
      </w:pPr>
    </w:p>
    <w:p w14:paraId="27A9E90D">
      <w:pPr>
        <w:pStyle w:val="16"/>
        <w:rPr>
          <w:rFonts w:hint="eastAsia" w:ascii="仿宋" w:hAnsi="仿宋" w:cs="仿宋"/>
          <w:b/>
          <w:sz w:val="32"/>
          <w:szCs w:val="32"/>
        </w:rPr>
      </w:pPr>
    </w:p>
    <w:p w14:paraId="13948CF2">
      <w:pPr>
        <w:pStyle w:val="16"/>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br w:type="page"/>
      </w:r>
      <w:r>
        <w:rPr>
          <w:rFonts w:hint="eastAsia" w:ascii="微软雅黑" w:hAnsi="微软雅黑" w:eastAsia="微软雅黑" w:cs="微软雅黑"/>
          <w:bCs/>
          <w:sz w:val="32"/>
          <w:szCs w:val="32"/>
        </w:rPr>
        <w:t>一、谈判响应声明</w:t>
      </w:r>
    </w:p>
    <w:p w14:paraId="441733E5">
      <w:pPr>
        <w:snapToGrid w:val="0"/>
        <w:spacing w:before="312" w:beforeLines="100" w:after="156" w:afterLines="50" w:line="360" w:lineRule="auto"/>
        <w:rPr>
          <w:rStyle w:val="15"/>
          <w:rFonts w:hint="eastAsia" w:ascii="宋体" w:hAnsi="宋体" w:cs="宋体"/>
          <w:b w:val="0"/>
          <w:sz w:val="24"/>
          <w:szCs w:val="24"/>
        </w:rPr>
      </w:pPr>
      <w:r>
        <w:rPr>
          <w:rStyle w:val="15"/>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一．我方已仔细研究了济南卫星磁试验转接工装采购项目竞谈文件的全部内容，愿意按照谈判文件要求的所有内容完成工作。</w:t>
      </w:r>
    </w:p>
    <w:p w14:paraId="3C5E5C2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（3）按照谈判要求提交履约保证金；</w:t>
      </w:r>
      <w:bookmarkStart w:id="16" w:name="_Toc369531694"/>
      <w:bookmarkStart w:id="17" w:name="_Toc352691658"/>
      <w:bookmarkStart w:id="18" w:name="_Toc1187"/>
    </w:p>
    <w:p w14:paraId="40714DD8">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w:t>
      </w:r>
      <w:bookmarkEnd w:id="16"/>
      <w:bookmarkEnd w:id="17"/>
      <w:bookmarkEnd w:id="18"/>
      <w:r>
        <w:rPr>
          <w:rStyle w:val="15"/>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（6）本谈判有效期满足谈判要求；</w:t>
      </w:r>
    </w:p>
    <w:p w14:paraId="2AE50521">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四．我方在此声明</w:t>
      </w:r>
    </w:p>
    <w:p w14:paraId="374CB98C">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(1)受到刑事处罚；</w:t>
      </w:r>
    </w:p>
    <w:p w14:paraId="29E0452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附件：法定代表人授权书</w:t>
      </w:r>
    </w:p>
    <w:p w14:paraId="75DADE9A">
      <w:pPr>
        <w:snapToGrid w:val="0"/>
        <w:spacing w:line="360" w:lineRule="auto"/>
        <w:ind w:firstLine="482" w:firstLineChars="200"/>
        <w:rPr>
          <w:rStyle w:val="15"/>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磁试验转接工装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二、供应方的资格证明材料</w:t>
      </w:r>
    </w:p>
    <w:tbl>
      <w:tblPr>
        <w:tblStyle w:val="7"/>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4"/>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营业执照及各类资质证明</w:t>
      </w:r>
    </w:p>
    <w:p w14:paraId="510B54F5">
      <w:pPr>
        <w:numPr>
          <w:ilvl w:val="0"/>
          <w:numId w:val="4"/>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4"/>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2025年审计报告或近三期财务报表</w:t>
      </w:r>
    </w:p>
    <w:p w14:paraId="27ABFE19">
      <w:pPr>
        <w:numPr>
          <w:ilvl w:val="0"/>
          <w:numId w:val="4"/>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国家企业信用信息公示系统下载的企业信用报告</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三、产品技术指标</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5"/>
        <w:rPr>
          <w:rFonts w:hint="eastAsia" w:ascii="仿宋" w:hAnsi="仿宋" w:cs="仿宋"/>
          <w:sz w:val="24"/>
          <w:szCs w:val="24"/>
        </w:rPr>
      </w:pPr>
    </w:p>
    <w:p w14:paraId="5DAE0E39">
      <w:pPr>
        <w:rPr>
          <w:rFonts w:hint="eastAsia" w:ascii="仿宋" w:hAnsi="仿宋" w:cs="仿宋"/>
          <w:sz w:val="24"/>
          <w:szCs w:val="24"/>
        </w:rPr>
      </w:pPr>
    </w:p>
    <w:p w14:paraId="505178D1">
      <w:pPr>
        <w:pStyle w:val="5"/>
        <w:rPr>
          <w:rFonts w:hint="eastAsia" w:ascii="仿宋" w:hAnsi="仿宋" w:cs="仿宋"/>
          <w:sz w:val="24"/>
          <w:szCs w:val="24"/>
        </w:rPr>
      </w:pPr>
    </w:p>
    <w:p w14:paraId="4DAD3101">
      <w:pPr>
        <w:rPr>
          <w:rFonts w:hint="eastAsia" w:ascii="仿宋" w:hAnsi="仿宋" w:cs="仿宋"/>
          <w:sz w:val="24"/>
          <w:szCs w:val="24"/>
        </w:rPr>
      </w:pPr>
    </w:p>
    <w:p w14:paraId="0A36D6E4">
      <w:pPr>
        <w:pStyle w:val="5"/>
        <w:jc w:val="both"/>
        <w:rPr>
          <w:rFonts w:hint="eastAsia" w:ascii="仿宋" w:hAnsi="仿宋" w:cs="仿宋"/>
          <w:sz w:val="24"/>
          <w:szCs w:val="24"/>
        </w:rPr>
      </w:pPr>
    </w:p>
    <w:p w14:paraId="390BC4C5">
      <w:pPr>
        <w:rPr>
          <w:rFonts w:hint="eastAsia" w:ascii="仿宋" w:hAnsi="仿宋" w:cs="仿宋"/>
          <w:sz w:val="24"/>
          <w:szCs w:val="24"/>
        </w:rPr>
      </w:pPr>
    </w:p>
    <w:p w14:paraId="275DFA35">
      <w:pPr>
        <w:pStyle w:val="5"/>
        <w:rPr>
          <w:rFonts w:hint="eastAsia" w:ascii="仿宋" w:hAnsi="仿宋" w:cs="仿宋"/>
          <w:sz w:val="24"/>
          <w:szCs w:val="24"/>
        </w:rPr>
      </w:pPr>
    </w:p>
    <w:p w14:paraId="5FA5DAB0">
      <w:pPr>
        <w:rPr>
          <w:rFonts w:hint="eastAsia" w:ascii="仿宋" w:hAnsi="仿宋" w:cs="仿宋"/>
          <w:sz w:val="24"/>
          <w:szCs w:val="24"/>
        </w:rPr>
      </w:pPr>
    </w:p>
    <w:p w14:paraId="42EC31AB">
      <w:pPr>
        <w:pStyle w:val="5"/>
        <w:rPr>
          <w:rFonts w:hint="eastAsia" w:ascii="仿宋" w:hAnsi="仿宋" w:cs="仿宋"/>
          <w:sz w:val="24"/>
          <w:szCs w:val="24"/>
        </w:rPr>
      </w:pPr>
    </w:p>
    <w:p w14:paraId="1BD25E0C">
      <w:pPr>
        <w:rPr>
          <w:rFonts w:hint="eastAsia" w:ascii="仿宋" w:hAnsi="仿宋" w:cs="仿宋"/>
          <w:sz w:val="24"/>
          <w:szCs w:val="24"/>
        </w:rPr>
      </w:pPr>
    </w:p>
    <w:p w14:paraId="6144F1F1">
      <w:pPr>
        <w:pStyle w:val="5"/>
        <w:rPr>
          <w:rFonts w:hint="eastAsia" w:ascii="仿宋" w:hAnsi="仿宋" w:cs="仿宋"/>
          <w:sz w:val="24"/>
          <w:szCs w:val="24"/>
        </w:rPr>
      </w:pPr>
    </w:p>
    <w:p w14:paraId="0705AC95">
      <w:pPr>
        <w:rPr>
          <w:rFonts w:hint="eastAsia" w:ascii="仿宋" w:hAnsi="仿宋" w:cs="仿宋"/>
          <w:sz w:val="24"/>
          <w:szCs w:val="24"/>
        </w:rPr>
      </w:pPr>
    </w:p>
    <w:p w14:paraId="1A9CE1EB">
      <w:pPr>
        <w:pStyle w:val="5"/>
        <w:rPr>
          <w:rFonts w:hint="eastAsia" w:ascii="仿宋" w:hAnsi="仿宋" w:cs="仿宋"/>
          <w:sz w:val="24"/>
          <w:szCs w:val="24"/>
        </w:rPr>
      </w:pPr>
    </w:p>
    <w:p w14:paraId="1EFE63AA">
      <w:pPr>
        <w:rPr>
          <w:rFonts w:hint="eastAsia" w:ascii="仿宋" w:hAnsi="仿宋" w:cs="仿宋"/>
          <w:sz w:val="24"/>
          <w:szCs w:val="24"/>
        </w:rPr>
      </w:pPr>
    </w:p>
    <w:p w14:paraId="3879FA75">
      <w:pPr>
        <w:pStyle w:val="5"/>
        <w:rPr>
          <w:rFonts w:hint="eastAsia" w:ascii="仿宋" w:hAnsi="仿宋" w:cs="仿宋"/>
          <w:sz w:val="24"/>
          <w:szCs w:val="24"/>
        </w:rPr>
      </w:pPr>
    </w:p>
    <w:p w14:paraId="27A8FAD5">
      <w:pPr>
        <w:rPr>
          <w:rFonts w:hint="eastAsia" w:ascii="仿宋" w:hAnsi="仿宋" w:cs="仿宋"/>
          <w:sz w:val="24"/>
          <w:szCs w:val="24"/>
        </w:rPr>
      </w:pPr>
    </w:p>
    <w:p w14:paraId="2CDC61E5">
      <w:pPr>
        <w:pStyle w:val="5"/>
        <w:rPr>
          <w:rFonts w:hint="eastAsia" w:ascii="仿宋" w:hAnsi="仿宋" w:cs="仿宋"/>
          <w:sz w:val="24"/>
          <w:szCs w:val="24"/>
        </w:rPr>
      </w:pPr>
    </w:p>
    <w:p w14:paraId="0FAF2AA0">
      <w:pPr>
        <w:rPr>
          <w:rFonts w:hint="eastAsia" w:ascii="仿宋" w:hAnsi="仿宋" w:cs="仿宋"/>
          <w:sz w:val="24"/>
          <w:szCs w:val="24"/>
        </w:rPr>
      </w:pPr>
    </w:p>
    <w:p w14:paraId="17CDB903">
      <w:pPr>
        <w:pStyle w:val="5"/>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7"/>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083B9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64F22866">
            <w:pPr>
              <w:snapToGrid w:val="0"/>
              <w:spacing w:line="360" w:lineRule="auto"/>
              <w:jc w:val="center"/>
              <w:rPr>
                <w:rFonts w:hint="eastAsia" w:ascii="仿宋" w:hAnsi="仿宋" w:cs="仿宋"/>
                <w:b/>
                <w:sz w:val="24"/>
                <w:szCs w:val="24"/>
              </w:rPr>
            </w:pPr>
            <w:r>
              <w:rPr>
                <w:rFonts w:hint="eastAsia" w:ascii="仿宋" w:hAnsi="仿宋" w:cs="仿宋"/>
                <w:b/>
                <w:sz w:val="24"/>
                <w:szCs w:val="24"/>
              </w:rPr>
              <w:t xml:space="preserve">项目名称及编号 </w:t>
            </w:r>
          </w:p>
        </w:tc>
        <w:tc>
          <w:tcPr>
            <w:tcW w:w="8086" w:type="dxa"/>
            <w:tcBorders>
              <w:top w:val="single" w:color="auto" w:sz="4" w:space="0"/>
              <w:left w:val="single" w:color="auto" w:sz="4" w:space="0"/>
              <w:bottom w:val="single" w:color="auto" w:sz="4" w:space="0"/>
              <w:right w:val="single" w:color="auto" w:sz="4" w:space="0"/>
            </w:tcBorders>
            <w:vAlign w:val="center"/>
          </w:tcPr>
          <w:p w14:paraId="168915FA">
            <w:pPr>
              <w:snapToGrid w:val="0"/>
              <w:spacing w:before="156" w:beforeLines="50" w:line="360" w:lineRule="auto"/>
              <w:rPr>
                <w:rFonts w:hint="eastAsia" w:ascii="仿宋" w:hAnsi="仿宋" w:cs="仿宋"/>
                <w:sz w:val="24"/>
                <w:szCs w:val="24"/>
              </w:rPr>
            </w:pPr>
            <w:r>
              <w:rPr>
                <w:rFonts w:hint="eastAsia" w:ascii="仿宋" w:hAnsi="仿宋" w:cs="仿宋"/>
                <w:sz w:val="24"/>
                <w:szCs w:val="24"/>
              </w:rPr>
              <w:t>济南卫星磁试验转接工装采购项目（编号:1293260626001 )</w:t>
            </w:r>
          </w:p>
        </w:tc>
      </w:tr>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78438B15">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006C3559">
            <w:pPr>
              <w:snapToGrid w:val="0"/>
              <w:spacing w:line="360" w:lineRule="auto"/>
              <w:jc w:val="center"/>
              <w:rPr>
                <w:rFonts w:hint="eastAsia" w:ascii="仿宋" w:hAnsi="仿宋" w:cs="仿宋"/>
                <w:b/>
                <w:sz w:val="24"/>
                <w:szCs w:val="24"/>
              </w:rPr>
            </w:pP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219FDE0D">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元人民币整（含税含运费）</w:t>
            </w:r>
            <w:bookmarkStart w:id="19" w:name="_GoBack"/>
            <w:bookmarkEnd w:id="19"/>
          </w:p>
          <w:p w14:paraId="77CC16FF">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元人民币整（含税含运费）</w:t>
            </w:r>
          </w:p>
          <w:p w14:paraId="0F34BBC6">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13 </w:t>
            </w:r>
            <w:r>
              <w:rPr>
                <w:rFonts w:hint="eastAsia" w:ascii="仿宋" w:hAnsi="仿宋" w:cs="仿宋"/>
                <w:sz w:val="24"/>
                <w:szCs w:val="24"/>
              </w:rPr>
              <w:t>%（增值税专用发票）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2A0C4845">
            <w:pPr>
              <w:snapToGrid w:val="0"/>
              <w:spacing w:line="360" w:lineRule="auto"/>
              <w:jc w:val="center"/>
              <w:rPr>
                <w:rFonts w:hint="eastAsia" w:ascii="仿宋" w:hAnsi="仿宋" w:cs="仿宋"/>
                <w:b/>
                <w:sz w:val="24"/>
                <w:szCs w:val="24"/>
              </w:rPr>
            </w:pPr>
            <w:r>
              <w:rPr>
                <w:rFonts w:hint="eastAsia" w:ascii="仿宋" w:hAnsi="仿宋" w:cs="仿宋"/>
                <w:b/>
                <w:sz w:val="24"/>
                <w:szCs w:val="24"/>
              </w:rPr>
              <w:t>付款</w:t>
            </w:r>
          </w:p>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5210CBD5">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本项目产品交付，通过验收并签署验收合格单后，供应方提供全额增值税专用发票（税率13%）一个月内，采购人支付全部金额的95%，其余5%作为质保金，质保期满且无质量问题，一个月内采购人无息支付剩余款项。</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625042C3">
            <w:pPr>
              <w:snapToGrid w:val="0"/>
              <w:spacing w:line="360" w:lineRule="auto"/>
              <w:jc w:val="center"/>
              <w:rPr>
                <w:rFonts w:hint="eastAsia" w:ascii="仿宋" w:hAnsi="仿宋" w:cs="仿宋"/>
                <w:b/>
                <w:sz w:val="24"/>
                <w:szCs w:val="24"/>
              </w:rPr>
            </w:pPr>
            <w:r>
              <w:rPr>
                <w:rFonts w:hint="eastAsia" w:ascii="仿宋" w:hAnsi="仿宋" w:cs="仿宋"/>
                <w:b/>
                <w:sz w:val="24"/>
                <w:szCs w:val="24"/>
              </w:rPr>
              <w:t>交付</w:t>
            </w:r>
          </w:p>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229C27A2">
            <w:pPr>
              <w:snapToGrid w:val="0"/>
              <w:spacing w:line="360" w:lineRule="auto"/>
              <w:jc w:val="center"/>
              <w:rPr>
                <w:rFonts w:hint="eastAsia" w:ascii="仿宋" w:hAnsi="仿宋" w:cs="仿宋"/>
                <w:b/>
                <w:sz w:val="24"/>
                <w:szCs w:val="24"/>
              </w:rPr>
            </w:pPr>
            <w:r>
              <w:rPr>
                <w:rFonts w:hint="eastAsia" w:ascii="仿宋" w:hAnsi="仿宋" w:cs="仿宋"/>
                <w:b/>
                <w:sz w:val="24"/>
                <w:szCs w:val="24"/>
              </w:rPr>
              <w:t>交付</w:t>
            </w:r>
          </w:p>
          <w:p w14:paraId="15B21413">
            <w:pPr>
              <w:snapToGrid w:val="0"/>
              <w:spacing w:line="360" w:lineRule="auto"/>
              <w:jc w:val="center"/>
              <w:rPr>
                <w:rFonts w:hint="eastAsia" w:ascii="仿宋" w:hAnsi="仿宋" w:cs="仿宋"/>
                <w:b/>
                <w:sz w:val="24"/>
                <w:szCs w:val="24"/>
              </w:rPr>
            </w:pPr>
            <w:r>
              <w:rPr>
                <w:rFonts w:hint="eastAsia" w:ascii="仿宋" w:hAnsi="仿宋" w:cs="仿宋"/>
                <w:b/>
                <w:sz w:val="24"/>
                <w:szCs w:val="24"/>
              </w:rPr>
              <w:t>形式</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实物交付。</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7BFC8D4F">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完成</w:t>
            </w:r>
          </w:p>
          <w:p w14:paraId="3B1F4F0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预计2026年7月10日前，具体时间可根据需求方工期再行协商。</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Cs/>
                <w:sz w:val="24"/>
                <w:szCs w:val="24"/>
              </w:rPr>
            </w:pPr>
            <w:r>
              <w:rPr>
                <w:rFonts w:hint="eastAsia" w:ascii="仿宋" w:hAnsi="仿宋" w:cs="仿宋"/>
                <w:b/>
                <w:sz w:val="24"/>
                <w:szCs w:val="24"/>
              </w:rPr>
              <w:t>其他服务承诺：</w:t>
            </w:r>
          </w:p>
          <w:p w14:paraId="05429A21">
            <w:pPr>
              <w:snapToGrid w:val="0"/>
              <w:spacing w:line="360" w:lineRule="auto"/>
              <w:rPr>
                <w:rFonts w:hint="eastAsia" w:ascii="仿宋" w:hAnsi="仿宋" w:cs="仿宋"/>
                <w:sz w:val="24"/>
                <w:szCs w:val="24"/>
              </w:rPr>
            </w:pPr>
            <w:r>
              <w:rPr>
                <w:rFonts w:hint="eastAsia" w:ascii="仿宋" w:hAnsi="仿宋" w:cs="仿宋"/>
                <w:sz w:val="24"/>
                <w:szCs w:val="24"/>
                <w:highlight w:val="none"/>
              </w:rPr>
              <w:t>质保期：验收合格之日起一年。</w:t>
            </w: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hint="eastAsia" w:ascii="仿宋" w:hAnsi="仿宋" w:cs="仿宋"/>
          <w:sz w:val="24"/>
          <w:szCs w:val="24"/>
          <w:u w:val="single"/>
        </w:rPr>
        <w:sectPr>
          <w:pgSz w:w="11906" w:h="16838"/>
          <w:pgMar w:top="1213" w:right="1800" w:bottom="1213" w:left="1800" w:header="851" w:footer="992" w:gutter="0"/>
          <w:cols w:space="425" w:num="1"/>
          <w:docGrid w:type="lines" w:linePitch="312" w:charSpace="0"/>
        </w:sect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0F70308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五、供应方认为需提供的其它资料</w:t>
      </w:r>
    </w:p>
    <w:p w14:paraId="29B93B6B">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33DA5-F3E8-46E2-9434-76880C5E6A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875E98-D748-48CF-9B18-161E68D70AA2}"/>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20746A25-4671-4690-8EBE-B17B01846924}"/>
  </w:font>
  <w:font w:name="仿宋_GB2312">
    <w:panose1 w:val="02010609030101010101"/>
    <w:charset w:val="86"/>
    <w:family w:val="modern"/>
    <w:pitch w:val="default"/>
    <w:sig w:usb0="00000001" w:usb1="080E0000" w:usb2="00000000" w:usb3="00000000" w:csb0="00040000" w:csb1="00000000"/>
    <w:embedRegular r:id="rId4" w:fontKey="{A62817C9-EAB8-43CC-8397-2BC88D9A6838}"/>
  </w:font>
  <w:font w:name="楷体_GB2312">
    <w:panose1 w:val="02010609030101010101"/>
    <w:charset w:val="86"/>
    <w:family w:val="modern"/>
    <w:pitch w:val="default"/>
    <w:sig w:usb0="00000001" w:usb1="080E0000" w:usb2="00000000" w:usb3="00000000" w:csb0="00040000" w:csb1="00000000"/>
    <w:embedRegular r:id="rId5" w:fontKey="{34117979-BAB7-4A4F-BA7A-3D5CA9522766}"/>
  </w:font>
  <w:font w:name="仿宋">
    <w:panose1 w:val="02010609060101010101"/>
    <w:charset w:val="86"/>
    <w:family w:val="modern"/>
    <w:pitch w:val="default"/>
    <w:sig w:usb0="800002BF" w:usb1="38CF7CFA" w:usb2="00000016" w:usb3="00000000" w:csb0="00040001" w:csb1="00000000"/>
    <w:embedRegular r:id="rId6" w:fontKey="{912AFA83-B4B2-421D-9E78-D17C1F97FA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3"/>
      <w:jc w:val="center"/>
    </w:pPr>
    <w:r>
      <w:fldChar w:fldCharType="begin"/>
    </w:r>
    <w:r>
      <w:instrText xml:space="preserve"> PAGE   \* MERGEFORMAT </w:instrText>
    </w:r>
    <w:r>
      <w:fldChar w:fldCharType="separate"/>
    </w:r>
    <w:r>
      <w:rPr>
        <w:lang w:val="zh-CN"/>
      </w:rPr>
      <w:t>53</w:t>
    </w:r>
    <w:r>
      <w:fldChar w:fldCharType="end"/>
    </w:r>
  </w:p>
  <w:p w14:paraId="351819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3C12F"/>
    <w:multiLevelType w:val="singleLevel"/>
    <w:tmpl w:val="D873C12F"/>
    <w:lvl w:ilvl="0" w:tentative="0">
      <w:start w:val="1"/>
      <w:numFmt w:val="decimal"/>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418962E"/>
    <w:multiLevelType w:val="singleLevel"/>
    <w:tmpl w:val="0418962E"/>
    <w:lvl w:ilvl="0" w:tentative="0">
      <w:start w:val="3"/>
      <w:numFmt w:val="chineseCounting"/>
      <w:suff w:val="nothing"/>
      <w:lvlText w:val="%1、"/>
      <w:lvlJc w:val="left"/>
      <w:rPr>
        <w:rFonts w:hint="eastAsia"/>
      </w:rPr>
    </w:lvl>
  </w:abstractNum>
  <w:abstractNum w:abstractNumId="3">
    <w:nsid w:val="1F0E883E"/>
    <w:multiLevelType w:val="singleLevel"/>
    <w:tmpl w:val="1F0E883E"/>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334C8E"/>
    <w:rsid w:val="005338E4"/>
    <w:rsid w:val="006124FE"/>
    <w:rsid w:val="00767743"/>
    <w:rsid w:val="007B160E"/>
    <w:rsid w:val="008F322C"/>
    <w:rsid w:val="00B71F65"/>
    <w:rsid w:val="00BC2A03"/>
    <w:rsid w:val="00F20C70"/>
    <w:rsid w:val="01F80A87"/>
    <w:rsid w:val="024535A0"/>
    <w:rsid w:val="02750329"/>
    <w:rsid w:val="0278376E"/>
    <w:rsid w:val="029F53A6"/>
    <w:rsid w:val="02B726F0"/>
    <w:rsid w:val="02D4325A"/>
    <w:rsid w:val="030A6CC4"/>
    <w:rsid w:val="035C6DF3"/>
    <w:rsid w:val="03962305"/>
    <w:rsid w:val="03AC7D7B"/>
    <w:rsid w:val="045F0E4A"/>
    <w:rsid w:val="04784101"/>
    <w:rsid w:val="0495080F"/>
    <w:rsid w:val="04E11CA6"/>
    <w:rsid w:val="05087351"/>
    <w:rsid w:val="05502988"/>
    <w:rsid w:val="05BB42A5"/>
    <w:rsid w:val="05C84C14"/>
    <w:rsid w:val="07A70F85"/>
    <w:rsid w:val="07EA0E72"/>
    <w:rsid w:val="08CB2A51"/>
    <w:rsid w:val="0A1B5312"/>
    <w:rsid w:val="0A724F76"/>
    <w:rsid w:val="0B2E5519"/>
    <w:rsid w:val="0B464611"/>
    <w:rsid w:val="0BC419DA"/>
    <w:rsid w:val="0CB101B0"/>
    <w:rsid w:val="0D18022F"/>
    <w:rsid w:val="0D270472"/>
    <w:rsid w:val="0D3606B5"/>
    <w:rsid w:val="0D815DD4"/>
    <w:rsid w:val="0D86163D"/>
    <w:rsid w:val="0DA6583B"/>
    <w:rsid w:val="0E9B2EC6"/>
    <w:rsid w:val="0F670FFA"/>
    <w:rsid w:val="0F9C0802"/>
    <w:rsid w:val="1030763E"/>
    <w:rsid w:val="10831E63"/>
    <w:rsid w:val="108B709A"/>
    <w:rsid w:val="10B97633"/>
    <w:rsid w:val="121877C9"/>
    <w:rsid w:val="12B62FD5"/>
    <w:rsid w:val="12DB441B"/>
    <w:rsid w:val="12ED571D"/>
    <w:rsid w:val="13914897"/>
    <w:rsid w:val="13A02D2C"/>
    <w:rsid w:val="14A776C0"/>
    <w:rsid w:val="14D25167"/>
    <w:rsid w:val="14F275B8"/>
    <w:rsid w:val="15145780"/>
    <w:rsid w:val="15330B6D"/>
    <w:rsid w:val="15BA6327"/>
    <w:rsid w:val="16677B31"/>
    <w:rsid w:val="16915513"/>
    <w:rsid w:val="16922719"/>
    <w:rsid w:val="16A6065A"/>
    <w:rsid w:val="171952CF"/>
    <w:rsid w:val="18023FB5"/>
    <w:rsid w:val="183119AD"/>
    <w:rsid w:val="18AE37F5"/>
    <w:rsid w:val="18FD013D"/>
    <w:rsid w:val="19FF3320"/>
    <w:rsid w:val="1A7A42D7"/>
    <w:rsid w:val="1B80591D"/>
    <w:rsid w:val="1BD712B5"/>
    <w:rsid w:val="1BDC5BC4"/>
    <w:rsid w:val="1BEA2D97"/>
    <w:rsid w:val="1C0F0A4F"/>
    <w:rsid w:val="1C980A44"/>
    <w:rsid w:val="1CD53A47"/>
    <w:rsid w:val="1D115631"/>
    <w:rsid w:val="1D216C8C"/>
    <w:rsid w:val="1D5E1C8E"/>
    <w:rsid w:val="1DB63878"/>
    <w:rsid w:val="1E256308"/>
    <w:rsid w:val="1F1F71FB"/>
    <w:rsid w:val="1F3F33F9"/>
    <w:rsid w:val="1FA15E62"/>
    <w:rsid w:val="1FB76534"/>
    <w:rsid w:val="1FE521F3"/>
    <w:rsid w:val="202A40A9"/>
    <w:rsid w:val="20B87193"/>
    <w:rsid w:val="20F621DE"/>
    <w:rsid w:val="21747CD2"/>
    <w:rsid w:val="2188552B"/>
    <w:rsid w:val="22596EC8"/>
    <w:rsid w:val="227C4964"/>
    <w:rsid w:val="229D5007"/>
    <w:rsid w:val="235651B5"/>
    <w:rsid w:val="237F336C"/>
    <w:rsid w:val="23D34A58"/>
    <w:rsid w:val="2419690F"/>
    <w:rsid w:val="24480FA2"/>
    <w:rsid w:val="24507E57"/>
    <w:rsid w:val="24B228BF"/>
    <w:rsid w:val="25714529"/>
    <w:rsid w:val="257F0504"/>
    <w:rsid w:val="25D725DE"/>
    <w:rsid w:val="26494B14"/>
    <w:rsid w:val="26976211"/>
    <w:rsid w:val="269E62F5"/>
    <w:rsid w:val="26FC7E22"/>
    <w:rsid w:val="287700A8"/>
    <w:rsid w:val="28884063"/>
    <w:rsid w:val="289C26F8"/>
    <w:rsid w:val="29057462"/>
    <w:rsid w:val="291E0523"/>
    <w:rsid w:val="296E14AB"/>
    <w:rsid w:val="2AAA5CA7"/>
    <w:rsid w:val="2B147E30"/>
    <w:rsid w:val="2BAF5E7E"/>
    <w:rsid w:val="2C3A1B18"/>
    <w:rsid w:val="2C573541"/>
    <w:rsid w:val="2CDC02EE"/>
    <w:rsid w:val="2CE33F5E"/>
    <w:rsid w:val="2D5B0D5F"/>
    <w:rsid w:val="2D742E08"/>
    <w:rsid w:val="2D917516"/>
    <w:rsid w:val="2DD815E9"/>
    <w:rsid w:val="2DF857E7"/>
    <w:rsid w:val="2EEE70F6"/>
    <w:rsid w:val="2F124686"/>
    <w:rsid w:val="2F326AD7"/>
    <w:rsid w:val="2F340AA1"/>
    <w:rsid w:val="2F713AA3"/>
    <w:rsid w:val="2F7875DF"/>
    <w:rsid w:val="30085A89"/>
    <w:rsid w:val="30843362"/>
    <w:rsid w:val="309D2676"/>
    <w:rsid w:val="30B55C11"/>
    <w:rsid w:val="30B8300C"/>
    <w:rsid w:val="31C7735A"/>
    <w:rsid w:val="32110C25"/>
    <w:rsid w:val="325A4A53"/>
    <w:rsid w:val="32943604"/>
    <w:rsid w:val="32A41A99"/>
    <w:rsid w:val="33664A41"/>
    <w:rsid w:val="33B51A84"/>
    <w:rsid w:val="34880F47"/>
    <w:rsid w:val="348A5C2C"/>
    <w:rsid w:val="34D80120"/>
    <w:rsid w:val="34DA5C46"/>
    <w:rsid w:val="354E2190"/>
    <w:rsid w:val="356D0868"/>
    <w:rsid w:val="35725E7F"/>
    <w:rsid w:val="35904557"/>
    <w:rsid w:val="35A3072E"/>
    <w:rsid w:val="35D501BC"/>
    <w:rsid w:val="378E4AC6"/>
    <w:rsid w:val="379C5435"/>
    <w:rsid w:val="37AF4CE7"/>
    <w:rsid w:val="386D6DD1"/>
    <w:rsid w:val="39450DC7"/>
    <w:rsid w:val="39D9563D"/>
    <w:rsid w:val="3ACA050B"/>
    <w:rsid w:val="3B0532F1"/>
    <w:rsid w:val="3B3B4F65"/>
    <w:rsid w:val="3B712735"/>
    <w:rsid w:val="3B7D557D"/>
    <w:rsid w:val="3B9D79CE"/>
    <w:rsid w:val="3BAE46FA"/>
    <w:rsid w:val="3C017F5D"/>
    <w:rsid w:val="3C1A2DCC"/>
    <w:rsid w:val="3C236125"/>
    <w:rsid w:val="3DA5709B"/>
    <w:rsid w:val="3E1D0952"/>
    <w:rsid w:val="3EB412B6"/>
    <w:rsid w:val="3EDF3E59"/>
    <w:rsid w:val="3F4A5777"/>
    <w:rsid w:val="3F636838"/>
    <w:rsid w:val="3FD402B9"/>
    <w:rsid w:val="40300E10"/>
    <w:rsid w:val="40550877"/>
    <w:rsid w:val="406B4232"/>
    <w:rsid w:val="407E68CF"/>
    <w:rsid w:val="42705F43"/>
    <w:rsid w:val="42976F25"/>
    <w:rsid w:val="431E31A2"/>
    <w:rsid w:val="43B21B3C"/>
    <w:rsid w:val="43B9111D"/>
    <w:rsid w:val="43F860E9"/>
    <w:rsid w:val="44550E45"/>
    <w:rsid w:val="44980319"/>
    <w:rsid w:val="44B453B7"/>
    <w:rsid w:val="44D64DB5"/>
    <w:rsid w:val="4574179F"/>
    <w:rsid w:val="459F2450"/>
    <w:rsid w:val="45BE0C6C"/>
    <w:rsid w:val="460074D7"/>
    <w:rsid w:val="466C691A"/>
    <w:rsid w:val="466F101E"/>
    <w:rsid w:val="46C0400D"/>
    <w:rsid w:val="47094169"/>
    <w:rsid w:val="4732546E"/>
    <w:rsid w:val="48EB1D78"/>
    <w:rsid w:val="49E07403"/>
    <w:rsid w:val="4A056E6A"/>
    <w:rsid w:val="4AE253FD"/>
    <w:rsid w:val="4B6D3A5F"/>
    <w:rsid w:val="4C3457E4"/>
    <w:rsid w:val="4C5734BF"/>
    <w:rsid w:val="4C7402D7"/>
    <w:rsid w:val="4D357A66"/>
    <w:rsid w:val="4D866514"/>
    <w:rsid w:val="4E353A96"/>
    <w:rsid w:val="4E994025"/>
    <w:rsid w:val="4F9111A0"/>
    <w:rsid w:val="4F9C32CC"/>
    <w:rsid w:val="50526B81"/>
    <w:rsid w:val="50A82C45"/>
    <w:rsid w:val="50CC3A8D"/>
    <w:rsid w:val="51F7178E"/>
    <w:rsid w:val="52224088"/>
    <w:rsid w:val="52263E21"/>
    <w:rsid w:val="52D7336D"/>
    <w:rsid w:val="530A3743"/>
    <w:rsid w:val="533C1422"/>
    <w:rsid w:val="53513079"/>
    <w:rsid w:val="53A72D40"/>
    <w:rsid w:val="542D76E9"/>
    <w:rsid w:val="54646E83"/>
    <w:rsid w:val="54AA0D3A"/>
    <w:rsid w:val="54DC2EBD"/>
    <w:rsid w:val="54EA7EC3"/>
    <w:rsid w:val="54FB5845"/>
    <w:rsid w:val="55C344E1"/>
    <w:rsid w:val="56AB0D99"/>
    <w:rsid w:val="56F02C50"/>
    <w:rsid w:val="5712706A"/>
    <w:rsid w:val="571F7091"/>
    <w:rsid w:val="576B22D6"/>
    <w:rsid w:val="580E15DF"/>
    <w:rsid w:val="58A837E2"/>
    <w:rsid w:val="58F509F1"/>
    <w:rsid w:val="59725B9E"/>
    <w:rsid w:val="597933D0"/>
    <w:rsid w:val="5A0A227A"/>
    <w:rsid w:val="5A2C3017"/>
    <w:rsid w:val="5A854500"/>
    <w:rsid w:val="5B351579"/>
    <w:rsid w:val="5D1A4582"/>
    <w:rsid w:val="5D2D69AC"/>
    <w:rsid w:val="5E3873B6"/>
    <w:rsid w:val="5FCF3D4A"/>
    <w:rsid w:val="5FF76DFD"/>
    <w:rsid w:val="60327E35"/>
    <w:rsid w:val="60AE1BB1"/>
    <w:rsid w:val="60C25FB7"/>
    <w:rsid w:val="6129748A"/>
    <w:rsid w:val="624927E5"/>
    <w:rsid w:val="6299063F"/>
    <w:rsid w:val="62B84919"/>
    <w:rsid w:val="638506A1"/>
    <w:rsid w:val="64C1451D"/>
    <w:rsid w:val="64E536C8"/>
    <w:rsid w:val="65362175"/>
    <w:rsid w:val="65680839"/>
    <w:rsid w:val="657D7DA4"/>
    <w:rsid w:val="65A43583"/>
    <w:rsid w:val="65D73958"/>
    <w:rsid w:val="66CE6B21"/>
    <w:rsid w:val="66DE54D4"/>
    <w:rsid w:val="68784853"/>
    <w:rsid w:val="689E075E"/>
    <w:rsid w:val="696F20FA"/>
    <w:rsid w:val="698C05B6"/>
    <w:rsid w:val="6A0E546F"/>
    <w:rsid w:val="6A260A0B"/>
    <w:rsid w:val="6A707ED8"/>
    <w:rsid w:val="6ABF49BB"/>
    <w:rsid w:val="6C411B2C"/>
    <w:rsid w:val="6C4B6506"/>
    <w:rsid w:val="6CAE4CE7"/>
    <w:rsid w:val="6D373934"/>
    <w:rsid w:val="6D567859"/>
    <w:rsid w:val="6E054DDB"/>
    <w:rsid w:val="6E274D51"/>
    <w:rsid w:val="6F071839"/>
    <w:rsid w:val="701B08E6"/>
    <w:rsid w:val="70310109"/>
    <w:rsid w:val="70F51137"/>
    <w:rsid w:val="715B13E6"/>
    <w:rsid w:val="7160325F"/>
    <w:rsid w:val="7215353D"/>
    <w:rsid w:val="721F3830"/>
    <w:rsid w:val="731004AA"/>
    <w:rsid w:val="73880040"/>
    <w:rsid w:val="74116287"/>
    <w:rsid w:val="741B5358"/>
    <w:rsid w:val="75526B58"/>
    <w:rsid w:val="75A60C51"/>
    <w:rsid w:val="7621652A"/>
    <w:rsid w:val="76A9475E"/>
    <w:rsid w:val="76C92E49"/>
    <w:rsid w:val="76E50393"/>
    <w:rsid w:val="770A0750"/>
    <w:rsid w:val="77161E07"/>
    <w:rsid w:val="77291B3A"/>
    <w:rsid w:val="77416E84"/>
    <w:rsid w:val="782347DB"/>
    <w:rsid w:val="795804B5"/>
    <w:rsid w:val="798B2638"/>
    <w:rsid w:val="79B70005"/>
    <w:rsid w:val="7B02692A"/>
    <w:rsid w:val="7B6A2721"/>
    <w:rsid w:val="7D2D3A06"/>
    <w:rsid w:val="7D385FFD"/>
    <w:rsid w:val="7D6C09D3"/>
    <w:rsid w:val="7E3F7E95"/>
    <w:rsid w:val="7ECD36F3"/>
    <w:rsid w:val="7EEB01F1"/>
    <w:rsid w:val="7F38695B"/>
    <w:rsid w:val="7F596D35"/>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6"/>
    <w:next w:val="1"/>
    <w:qFormat/>
    <w:uiPriority w:val="0"/>
    <w:pPr>
      <w:tabs>
        <w:tab w:val="right" w:leader="dot" w:pos="9060"/>
      </w:tabs>
      <w:spacing w:after="120" w:line="360" w:lineRule="exact"/>
      <w:ind w:firstLine="198"/>
      <w:jc w:val="center"/>
    </w:pPr>
    <w:rPr>
      <w:rFonts w:ascii="宋体" w:hAnsi="宋体"/>
      <w:b/>
      <w:bCs/>
      <w:caps/>
    </w:rPr>
  </w:style>
  <w:style w:type="paragraph" w:styleId="6">
    <w:name w:val="index 1"/>
    <w:basedOn w:val="1"/>
    <w:next w:val="1"/>
    <w:qFormat/>
    <w:uiPriority w:val="0"/>
  </w:style>
  <w:style w:type="character" w:styleId="9">
    <w:name w:val="Emphasis"/>
    <w:basedOn w:val="8"/>
    <w:qFormat/>
    <w:uiPriority w:val="0"/>
  </w:style>
  <w:style w:type="character" w:styleId="10">
    <w:name w:val="Hyperlink"/>
    <w:basedOn w:val="8"/>
    <w:qFormat/>
    <w:uiPriority w:val="0"/>
    <w:rPr>
      <w:color w:val="0000FF"/>
      <w:u w:val="single"/>
    </w:rPr>
  </w:style>
  <w:style w:type="paragraph" w:customStyle="1" w:styleId="11">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2">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3">
    <w:name w:val="正文1"/>
    <w:basedOn w:val="1"/>
    <w:qFormat/>
    <w:uiPriority w:val="0"/>
    <w:pPr>
      <w:adjustRightInd w:val="0"/>
      <w:spacing w:line="480" w:lineRule="exact"/>
      <w:textAlignment w:val="baseline"/>
    </w:pPr>
    <w:rPr>
      <w:spacing w:val="-2"/>
      <w:kern w:val="0"/>
      <w:sz w:val="28"/>
      <w:szCs w:val="20"/>
    </w:rPr>
  </w:style>
  <w:style w:type="paragraph" w:styleId="14">
    <w:name w:val="List Paragraph"/>
    <w:basedOn w:val="1"/>
    <w:qFormat/>
    <w:uiPriority w:val="0"/>
    <w:pPr>
      <w:ind w:firstLine="420" w:firstLineChars="200"/>
    </w:pPr>
  </w:style>
  <w:style w:type="character" w:customStyle="1" w:styleId="15">
    <w:name w:val="标题 2 Char1"/>
    <w:qFormat/>
    <w:uiPriority w:val="0"/>
    <w:rPr>
      <w:rFonts w:ascii="Cambria" w:hAnsi="Cambria" w:eastAsia="宋体" w:cs="Cambria"/>
      <w:b/>
      <w:bCs/>
      <w:kern w:val="0"/>
      <w:sz w:val="32"/>
      <w:szCs w:val="32"/>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cs="宋体"/>
      <w:szCs w:val="21"/>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星元-表格标题"/>
    <w:basedOn w:val="1"/>
    <w:qFormat/>
    <w:uiPriority w:val="0"/>
    <w:pPr>
      <w:keepNext/>
      <w:spacing w:before="312" w:beforeLines="100"/>
      <w:jc w:val="center"/>
    </w:pPr>
    <w:rPr>
      <w:rFonts w:cs="宋体"/>
      <w:szCs w:val="20"/>
    </w:rPr>
  </w:style>
  <w:style w:type="paragraph" w:customStyle="1" w:styleId="20">
    <w:name w:val="GS-表格内字号"/>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2733</Words>
  <Characters>2961</Characters>
  <Lines>356</Lines>
  <Paragraphs>301</Paragraphs>
  <TotalTime>16</TotalTime>
  <ScaleCrop>false</ScaleCrop>
  <LinksUpToDate>false</LinksUpToDate>
  <CharactersWithSpaces>4571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闫静</cp:lastModifiedBy>
  <dcterms:modified xsi:type="dcterms:W3CDTF">2026-06-26T02:09:18Z</dcterms:modified>
  <dc:title>济南卫星DCMM贯标咨询服务采购竞谈公告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58983120240A45DB9D856A21FC555573_13</vt:lpwstr>
  </property>
  <property fmtid="{D5CDD505-2E9C-101B-9397-08002B2CF9AE}" pid="4" name="KSOTemplateDocerSaveRecord">
    <vt:lpwstr>eyJoZGlkIjoiZDIyNGJkMThhNTAyNjExMGI4MjFjYWNkNWM0MmM3OGMiLCJ1c2VySWQiOiI4OTg0MDcwMjAifQ==</vt:lpwstr>
  </property>
</Properties>
</file>